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E628E">
      <w:pPr>
        <w:widowControl/>
        <w:spacing w:line="360" w:lineRule="auto"/>
        <w:jc w:val="center"/>
        <w:textAlignment w:val="center"/>
        <w:rPr>
          <w:rFonts w:ascii="方正小标宋简体" w:hAnsi="方正小标宋简体" w:eastAsia="方正小标宋简体" w:cs="方正小标宋简体"/>
          <w:color w:val="000000" w:themeColor="text1"/>
          <w:sz w:val="52"/>
          <w:szCs w:val="52"/>
          <w14:textFill>
            <w14:solidFill>
              <w14:schemeClr w14:val="tx1"/>
            </w14:solidFill>
          </w14:textFill>
        </w:rPr>
      </w:pPr>
      <w:r>
        <w:rPr>
          <w:sz w:val="44"/>
        </w:rPr>
        <mc:AlternateContent>
          <mc:Choice Requires="wps">
            <w:drawing>
              <wp:anchor distT="0" distB="0" distL="114300" distR="114300" simplePos="0" relativeHeight="251659264" behindDoc="0" locked="0" layoutInCell="1" allowOverlap="1">
                <wp:simplePos x="0" y="0"/>
                <wp:positionH relativeFrom="column">
                  <wp:posOffset>-217170</wp:posOffset>
                </wp:positionH>
                <wp:positionV relativeFrom="paragraph">
                  <wp:posOffset>-711200</wp:posOffset>
                </wp:positionV>
                <wp:extent cx="817245" cy="4876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7245" cy="4876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24F91">
                            <w:pPr>
                              <w:rPr>
                                <w:sz w:val="28"/>
                                <w:szCs w:val="28"/>
                              </w:rPr>
                            </w:pPr>
                            <w:r>
                              <w:rPr>
                                <w:rFonts w:hint="eastAsia"/>
                                <w:sz w:val="28"/>
                                <w:szCs w:val="28"/>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pt;margin-top:-56pt;height:38.4pt;width:64.35pt;z-index:251659264;mso-width-relative:page;mso-height-relative:page;" filled="f" stroked="f" coordsize="21600,21600" o:gfxdata="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&#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Z/c5t2wAAAAsBAAAPAAAAAAAAAAEAIAAAACIAAABk&#10;cnMvZG93bnJldi54bWxQSwECFAAUAAAACACHTuJAYr3CTzwCAABlBAAADgAAAAAAAAABACAAAAAq&#10;AQAAZHJzL2Uyb0RvYy54bWxQSwUGAAAAAAYABgBZAQAA2AUAAAAA&#10;">
                <v:fill on="f" focussize="0,0"/>
                <v:stroke on="f" weight="0.5pt"/>
                <v:imagedata o:title=""/>
                <o:lock v:ext="edit" aspectratio="f"/>
                <v:textbox>
                  <w:txbxContent>
                    <w:p w14:paraId="2D824F91">
                      <w:pPr>
                        <w:rPr>
                          <w:sz w:val="28"/>
                          <w:szCs w:val="28"/>
                        </w:rPr>
                      </w:pPr>
                      <w:r>
                        <w:rPr>
                          <w:rFonts w:hint="eastAsia"/>
                          <w:sz w:val="28"/>
                          <w:szCs w:val="28"/>
                        </w:rPr>
                        <w:t>附件1：</w:t>
                      </w:r>
                    </w:p>
                  </w:txbxContent>
                </v:textbox>
              </v:shape>
            </w:pict>
          </mc:Fallback>
        </mc:AlternateContent>
      </w:r>
      <w:r>
        <w:rPr>
          <w:rFonts w:hint="eastAsia" w:ascii="方正小标宋简体" w:hAnsi="方正小标宋简体" w:eastAsia="方正小标宋简体" w:cs="方正小标宋简体"/>
          <w:color w:val="000000" w:themeColor="text1"/>
          <w:sz w:val="52"/>
          <w:szCs w:val="52"/>
          <w14:textFill>
            <w14:solidFill>
              <w14:schemeClr w14:val="tx1"/>
            </w14:solidFill>
          </w14:textFill>
        </w:rPr>
        <w:t>营口惠裕实业有限公司</w:t>
      </w:r>
    </w:p>
    <w:p w14:paraId="3B976FBF">
      <w:pPr>
        <w:widowControl/>
        <w:spacing w:line="360" w:lineRule="auto"/>
        <w:jc w:val="center"/>
        <w:textAlignment w:val="center"/>
        <w:rPr>
          <w:rFonts w:ascii="方正小标宋简体" w:hAnsi="方正小标宋简体" w:eastAsia="方正小标宋简体" w:cs="方正小标宋简体"/>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color w:val="000000" w:themeColor="text1"/>
          <w:sz w:val="52"/>
          <w:szCs w:val="52"/>
          <w14:textFill>
            <w14:solidFill>
              <w14:schemeClr w14:val="tx1"/>
            </w14:solidFill>
          </w14:textFill>
        </w:rPr>
        <w:t>2024年面向社会公开招聘岗位信息表</w:t>
      </w:r>
    </w:p>
    <w:p w14:paraId="647D0D4B">
      <w:pPr>
        <w:widowControl/>
        <w:spacing w:line="360" w:lineRule="auto"/>
        <w:textAlignment w:val="center"/>
        <w:rPr>
          <w:rFonts w:ascii="仿宋_GB2312" w:hAnsi="仿宋_GB2312" w:eastAsia="仿宋_GB2312" w:cs="仿宋_GB2312"/>
          <w:b/>
          <w:bCs/>
          <w:color w:val="000000" w:themeColor="text1"/>
          <w:sz w:val="52"/>
          <w:szCs w:val="52"/>
          <w14:textFill>
            <w14:solidFill>
              <w14:schemeClr w14:val="tx1"/>
            </w14:solidFill>
          </w14:textFill>
        </w:rPr>
      </w:pPr>
    </w:p>
    <w:tbl>
      <w:tblPr>
        <w:tblStyle w:val="5"/>
        <w:tblpPr w:leftFromText="180" w:rightFromText="180" w:vertAnchor="text" w:horzAnchor="page" w:tblpX="577" w:tblpY="-341"/>
        <w:tblOverlap w:val="never"/>
        <w:tblW w:w="151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
        <w:gridCol w:w="909"/>
        <w:gridCol w:w="1016"/>
        <w:gridCol w:w="1106"/>
        <w:gridCol w:w="523"/>
        <w:gridCol w:w="1505"/>
        <w:gridCol w:w="2585"/>
        <w:gridCol w:w="3714"/>
        <w:gridCol w:w="2454"/>
        <w:gridCol w:w="1064"/>
      </w:tblGrid>
      <w:tr w14:paraId="703A1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40" w:type="dxa"/>
            <w:vMerge w:val="restart"/>
            <w:tcBorders>
              <w:tl2br w:val="nil"/>
              <w:tr2bl w:val="nil"/>
            </w:tcBorders>
            <w:tcMar>
              <w:top w:w="15" w:type="dxa"/>
              <w:left w:w="15" w:type="dxa"/>
              <w:right w:w="15" w:type="dxa"/>
            </w:tcMar>
            <w:vAlign w:val="center"/>
          </w:tcPr>
          <w:p w14:paraId="42D7432B">
            <w:pPr>
              <w:widowControl/>
              <w:jc w:val="center"/>
              <w:textAlignment w:val="center"/>
              <w:rPr>
                <w:rFonts w:ascii="Times New Roman" w:hAnsi="Times New Roman"/>
                <w:b/>
                <w:color w:val="000000" w:themeColor="text1"/>
                <w:sz w:val="22"/>
                <w:szCs w:val="22"/>
                <w14:textFill>
                  <w14:solidFill>
                    <w14:schemeClr w14:val="tx1"/>
                  </w14:solidFill>
                </w14:textFill>
              </w:rPr>
            </w:pPr>
            <w:r>
              <w:rPr>
                <w:rFonts w:ascii="Times New Roman" w:hAnsi="Times New Roman"/>
                <w:b/>
                <w:color w:val="000000" w:themeColor="text1"/>
                <w:kern w:val="0"/>
                <w:sz w:val="18"/>
                <w:szCs w:val="18"/>
                <w:lang w:bidi="ar"/>
                <w14:textFill>
                  <w14:solidFill>
                    <w14:schemeClr w14:val="tx1"/>
                  </w14:solidFill>
                </w14:textFill>
              </w:rPr>
              <w:t>序号</w:t>
            </w:r>
          </w:p>
        </w:tc>
        <w:tc>
          <w:tcPr>
            <w:tcW w:w="1925" w:type="dxa"/>
            <w:gridSpan w:val="2"/>
            <w:vMerge w:val="restart"/>
            <w:tcBorders>
              <w:tl2br w:val="nil"/>
              <w:tr2bl w:val="nil"/>
            </w:tcBorders>
            <w:tcMar>
              <w:top w:w="15" w:type="dxa"/>
              <w:left w:w="15" w:type="dxa"/>
              <w:right w:w="15" w:type="dxa"/>
            </w:tcMar>
            <w:vAlign w:val="center"/>
          </w:tcPr>
          <w:p w14:paraId="1EAE0460">
            <w:pPr>
              <w:widowControl/>
              <w:jc w:val="center"/>
              <w:textAlignment w:val="center"/>
              <w:rPr>
                <w:rFonts w:ascii="Times New Roman" w:hAnsi="Times New Roman"/>
                <w:b/>
                <w:color w:val="000000" w:themeColor="text1"/>
                <w:kern w:val="0"/>
                <w:sz w:val="18"/>
                <w:szCs w:val="18"/>
                <w:lang w:bidi="ar"/>
                <w14:textFill>
                  <w14:solidFill>
                    <w14:schemeClr w14:val="tx1"/>
                  </w14:solidFill>
                </w14:textFill>
              </w:rPr>
            </w:pPr>
            <w:r>
              <w:rPr>
                <w:rFonts w:ascii="Times New Roman" w:hAnsi="Times New Roman"/>
                <w:b/>
                <w:color w:val="000000" w:themeColor="text1"/>
                <w:kern w:val="0"/>
                <w:sz w:val="18"/>
                <w:szCs w:val="18"/>
                <w:lang w:bidi="ar"/>
                <w14:textFill>
                  <w14:solidFill>
                    <w14:schemeClr w14:val="tx1"/>
                  </w14:solidFill>
                </w14:textFill>
              </w:rPr>
              <w:t>招聘单位</w:t>
            </w:r>
          </w:p>
        </w:tc>
        <w:tc>
          <w:tcPr>
            <w:tcW w:w="1106" w:type="dxa"/>
            <w:vMerge w:val="restart"/>
            <w:tcBorders>
              <w:tl2br w:val="nil"/>
              <w:tr2bl w:val="nil"/>
            </w:tcBorders>
            <w:tcMar>
              <w:top w:w="15" w:type="dxa"/>
              <w:left w:w="15" w:type="dxa"/>
              <w:right w:w="15" w:type="dxa"/>
            </w:tcMar>
            <w:vAlign w:val="center"/>
          </w:tcPr>
          <w:p w14:paraId="392F7C55">
            <w:pPr>
              <w:widowControl/>
              <w:jc w:val="center"/>
              <w:textAlignment w:val="center"/>
              <w:rPr>
                <w:rFonts w:ascii="Times New Roman" w:hAnsi="Times New Roman"/>
                <w:b/>
                <w:color w:val="000000" w:themeColor="text1"/>
                <w:sz w:val="22"/>
                <w:szCs w:val="22"/>
                <w14:textFill>
                  <w14:solidFill>
                    <w14:schemeClr w14:val="tx1"/>
                  </w14:solidFill>
                </w14:textFill>
              </w:rPr>
            </w:pPr>
            <w:r>
              <w:rPr>
                <w:rFonts w:ascii="Times New Roman" w:hAnsi="Times New Roman"/>
                <w:b/>
                <w:color w:val="000000" w:themeColor="text1"/>
                <w:kern w:val="0"/>
                <w:sz w:val="18"/>
                <w:szCs w:val="18"/>
                <w:lang w:bidi="ar"/>
                <w14:textFill>
                  <w14:solidFill>
                    <w14:schemeClr w14:val="tx1"/>
                  </w14:solidFill>
                </w14:textFill>
              </w:rPr>
              <w:t>岗位名称</w:t>
            </w:r>
          </w:p>
        </w:tc>
        <w:tc>
          <w:tcPr>
            <w:tcW w:w="523" w:type="dxa"/>
            <w:vMerge w:val="restart"/>
            <w:tcBorders>
              <w:tl2br w:val="nil"/>
              <w:tr2bl w:val="nil"/>
            </w:tcBorders>
            <w:tcMar>
              <w:top w:w="15" w:type="dxa"/>
              <w:left w:w="15" w:type="dxa"/>
              <w:right w:w="15" w:type="dxa"/>
            </w:tcMar>
            <w:vAlign w:val="center"/>
          </w:tcPr>
          <w:p w14:paraId="5C89C3AC">
            <w:pPr>
              <w:widowControl/>
              <w:jc w:val="center"/>
              <w:textAlignment w:val="center"/>
              <w:rPr>
                <w:rFonts w:ascii="Times New Roman" w:hAnsi="Times New Roman"/>
                <w:b/>
                <w:color w:val="000000" w:themeColor="text1"/>
                <w:sz w:val="22"/>
                <w:szCs w:val="22"/>
                <w14:textFill>
                  <w14:solidFill>
                    <w14:schemeClr w14:val="tx1"/>
                  </w14:solidFill>
                </w14:textFill>
              </w:rPr>
            </w:pPr>
            <w:r>
              <w:rPr>
                <w:rFonts w:ascii="Times New Roman" w:hAnsi="Times New Roman"/>
                <w:b/>
                <w:color w:val="000000" w:themeColor="text1"/>
                <w:kern w:val="0"/>
                <w:sz w:val="18"/>
                <w:szCs w:val="18"/>
                <w:lang w:bidi="ar"/>
                <w14:textFill>
                  <w14:solidFill>
                    <w14:schemeClr w14:val="tx1"/>
                  </w14:solidFill>
                </w14:textFill>
              </w:rPr>
              <w:t>招聘</w:t>
            </w:r>
            <w:r>
              <w:rPr>
                <w:rFonts w:ascii="Times New Roman" w:hAnsi="Times New Roman"/>
                <w:b/>
                <w:color w:val="000000" w:themeColor="text1"/>
                <w:kern w:val="0"/>
                <w:sz w:val="18"/>
                <w:szCs w:val="18"/>
                <w:lang w:bidi="ar"/>
                <w14:textFill>
                  <w14:solidFill>
                    <w14:schemeClr w14:val="tx1"/>
                  </w14:solidFill>
                </w14:textFill>
              </w:rPr>
              <w:br w:type="textWrapping"/>
            </w:r>
            <w:r>
              <w:rPr>
                <w:rFonts w:ascii="Times New Roman" w:hAnsi="Times New Roman"/>
                <w:b/>
                <w:color w:val="000000" w:themeColor="text1"/>
                <w:kern w:val="0"/>
                <w:sz w:val="18"/>
                <w:szCs w:val="18"/>
                <w:lang w:bidi="ar"/>
                <w14:textFill>
                  <w14:solidFill>
                    <w14:schemeClr w14:val="tx1"/>
                  </w14:solidFill>
                </w14:textFill>
              </w:rPr>
              <w:t>数量</w:t>
            </w:r>
          </w:p>
        </w:tc>
        <w:tc>
          <w:tcPr>
            <w:tcW w:w="10258" w:type="dxa"/>
            <w:gridSpan w:val="4"/>
            <w:tcBorders>
              <w:tl2br w:val="nil"/>
              <w:tr2bl w:val="nil"/>
            </w:tcBorders>
            <w:tcMar>
              <w:top w:w="15" w:type="dxa"/>
              <w:left w:w="15" w:type="dxa"/>
              <w:right w:w="15" w:type="dxa"/>
            </w:tcMar>
            <w:vAlign w:val="center"/>
          </w:tcPr>
          <w:p w14:paraId="1FD583FB">
            <w:pPr>
              <w:widowControl/>
              <w:jc w:val="center"/>
              <w:textAlignment w:val="center"/>
              <w:rPr>
                <w:rFonts w:ascii="Times New Roman" w:hAnsi="Times New Roman"/>
                <w:b/>
                <w:color w:val="000000" w:themeColor="text1"/>
                <w:sz w:val="22"/>
                <w:szCs w:val="22"/>
                <w14:textFill>
                  <w14:solidFill>
                    <w14:schemeClr w14:val="tx1"/>
                  </w14:solidFill>
                </w14:textFill>
              </w:rPr>
            </w:pPr>
            <w:r>
              <w:rPr>
                <w:rFonts w:ascii="Times New Roman" w:hAnsi="Times New Roman"/>
                <w:b/>
                <w:color w:val="000000" w:themeColor="text1"/>
                <w:kern w:val="0"/>
                <w:sz w:val="18"/>
                <w:szCs w:val="18"/>
                <w:lang w:bidi="ar"/>
                <w14:textFill>
                  <w14:solidFill>
                    <w14:schemeClr w14:val="tx1"/>
                  </w14:solidFill>
                </w14:textFill>
              </w:rPr>
              <w:t>相关条件</w:t>
            </w:r>
          </w:p>
        </w:tc>
        <w:tc>
          <w:tcPr>
            <w:tcW w:w="1064" w:type="dxa"/>
            <w:vMerge w:val="restart"/>
            <w:tcBorders>
              <w:tl2br w:val="nil"/>
              <w:tr2bl w:val="nil"/>
            </w:tcBorders>
            <w:tcMar>
              <w:top w:w="15" w:type="dxa"/>
              <w:left w:w="15" w:type="dxa"/>
              <w:right w:w="15" w:type="dxa"/>
            </w:tcMar>
            <w:vAlign w:val="center"/>
          </w:tcPr>
          <w:p w14:paraId="5B4DCD14">
            <w:pPr>
              <w:widowControl/>
              <w:jc w:val="center"/>
              <w:textAlignment w:val="center"/>
              <w:rPr>
                <w:rFonts w:ascii="Times New Roman" w:hAnsi="Times New Roman"/>
                <w:b/>
                <w:color w:val="000000" w:themeColor="text1"/>
                <w:kern w:val="0"/>
                <w:sz w:val="18"/>
                <w:szCs w:val="18"/>
                <w:lang w:bidi="ar"/>
                <w14:textFill>
                  <w14:solidFill>
                    <w14:schemeClr w14:val="tx1"/>
                  </w14:solidFill>
                </w14:textFill>
              </w:rPr>
            </w:pPr>
            <w:r>
              <w:rPr>
                <w:rFonts w:ascii="Times New Roman" w:hAnsi="Times New Roman"/>
                <w:b/>
                <w:color w:val="000000" w:themeColor="text1"/>
                <w:kern w:val="0"/>
                <w:sz w:val="18"/>
                <w:szCs w:val="18"/>
                <w:lang w:bidi="ar"/>
                <w14:textFill>
                  <w14:solidFill>
                    <w14:schemeClr w14:val="tx1"/>
                  </w14:solidFill>
                </w14:textFill>
              </w:rPr>
              <w:t>主管部门</w:t>
            </w:r>
          </w:p>
          <w:p w14:paraId="752C05FB">
            <w:pPr>
              <w:widowControl/>
              <w:jc w:val="center"/>
              <w:textAlignment w:val="center"/>
              <w:rPr>
                <w:rFonts w:ascii="Times New Roman" w:hAnsi="Times New Roman"/>
                <w:b/>
                <w:color w:val="000000" w:themeColor="text1"/>
                <w:kern w:val="0"/>
                <w:sz w:val="18"/>
                <w:szCs w:val="18"/>
                <w:lang w:bidi="ar"/>
                <w14:textFill>
                  <w14:solidFill>
                    <w14:schemeClr w14:val="tx1"/>
                  </w14:solidFill>
                </w14:textFill>
              </w:rPr>
            </w:pPr>
            <w:r>
              <w:rPr>
                <w:rFonts w:ascii="Times New Roman" w:hAnsi="Times New Roman"/>
                <w:b/>
                <w:color w:val="000000" w:themeColor="text1"/>
                <w:kern w:val="0"/>
                <w:sz w:val="18"/>
                <w:szCs w:val="18"/>
                <w:lang w:bidi="ar"/>
                <w14:textFill>
                  <w14:solidFill>
                    <w14:schemeClr w14:val="tx1"/>
                  </w14:solidFill>
                </w14:textFill>
              </w:rPr>
              <w:t>咨询电话</w:t>
            </w:r>
          </w:p>
        </w:tc>
      </w:tr>
      <w:tr w14:paraId="2EF4F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40" w:type="dxa"/>
            <w:vMerge w:val="continue"/>
            <w:tcBorders>
              <w:tl2br w:val="nil"/>
              <w:tr2bl w:val="nil"/>
            </w:tcBorders>
            <w:tcMar>
              <w:top w:w="15" w:type="dxa"/>
              <w:left w:w="15" w:type="dxa"/>
              <w:right w:w="15" w:type="dxa"/>
            </w:tcMar>
            <w:vAlign w:val="center"/>
          </w:tcPr>
          <w:p w14:paraId="0E703E96">
            <w:pPr>
              <w:jc w:val="center"/>
              <w:rPr>
                <w:rFonts w:ascii="Times New Roman" w:hAnsi="Times New Roman"/>
                <w:b/>
                <w:color w:val="000000" w:themeColor="text1"/>
                <w:sz w:val="22"/>
                <w:szCs w:val="22"/>
                <w14:textFill>
                  <w14:solidFill>
                    <w14:schemeClr w14:val="tx1"/>
                  </w14:solidFill>
                </w14:textFill>
              </w:rPr>
            </w:pPr>
          </w:p>
        </w:tc>
        <w:tc>
          <w:tcPr>
            <w:tcW w:w="1925" w:type="dxa"/>
            <w:gridSpan w:val="2"/>
            <w:vMerge w:val="continue"/>
            <w:tcBorders>
              <w:tl2br w:val="nil"/>
              <w:tr2bl w:val="nil"/>
            </w:tcBorders>
            <w:tcMar>
              <w:top w:w="15" w:type="dxa"/>
              <w:left w:w="15" w:type="dxa"/>
              <w:right w:w="15" w:type="dxa"/>
            </w:tcMar>
            <w:vAlign w:val="center"/>
          </w:tcPr>
          <w:p w14:paraId="67476037">
            <w:pPr>
              <w:jc w:val="center"/>
              <w:rPr>
                <w:rFonts w:ascii="Times New Roman" w:hAnsi="Times New Roman"/>
                <w:b/>
                <w:color w:val="000000" w:themeColor="text1"/>
                <w:sz w:val="22"/>
                <w:szCs w:val="22"/>
                <w14:textFill>
                  <w14:solidFill>
                    <w14:schemeClr w14:val="tx1"/>
                  </w14:solidFill>
                </w14:textFill>
              </w:rPr>
            </w:pPr>
          </w:p>
        </w:tc>
        <w:tc>
          <w:tcPr>
            <w:tcW w:w="1106" w:type="dxa"/>
            <w:vMerge w:val="continue"/>
            <w:tcBorders>
              <w:tl2br w:val="nil"/>
              <w:tr2bl w:val="nil"/>
            </w:tcBorders>
            <w:tcMar>
              <w:top w:w="15" w:type="dxa"/>
              <w:left w:w="15" w:type="dxa"/>
              <w:right w:w="15" w:type="dxa"/>
            </w:tcMar>
            <w:vAlign w:val="center"/>
          </w:tcPr>
          <w:p w14:paraId="39B0CD5A">
            <w:pPr>
              <w:jc w:val="center"/>
              <w:rPr>
                <w:rFonts w:ascii="Times New Roman" w:hAnsi="Times New Roman"/>
                <w:b/>
                <w:color w:val="000000" w:themeColor="text1"/>
                <w:sz w:val="22"/>
                <w:szCs w:val="22"/>
                <w14:textFill>
                  <w14:solidFill>
                    <w14:schemeClr w14:val="tx1"/>
                  </w14:solidFill>
                </w14:textFill>
              </w:rPr>
            </w:pPr>
          </w:p>
        </w:tc>
        <w:tc>
          <w:tcPr>
            <w:tcW w:w="523" w:type="dxa"/>
            <w:vMerge w:val="continue"/>
            <w:tcBorders>
              <w:tl2br w:val="nil"/>
              <w:tr2bl w:val="nil"/>
            </w:tcBorders>
            <w:tcMar>
              <w:top w:w="15" w:type="dxa"/>
              <w:left w:w="15" w:type="dxa"/>
              <w:right w:w="15" w:type="dxa"/>
            </w:tcMar>
            <w:vAlign w:val="center"/>
          </w:tcPr>
          <w:p w14:paraId="1CE46AED">
            <w:pPr>
              <w:jc w:val="center"/>
              <w:rPr>
                <w:rFonts w:ascii="Times New Roman" w:hAnsi="Times New Roman"/>
                <w:b/>
                <w:color w:val="000000" w:themeColor="text1"/>
                <w:sz w:val="22"/>
                <w:szCs w:val="22"/>
                <w14:textFill>
                  <w14:solidFill>
                    <w14:schemeClr w14:val="tx1"/>
                  </w14:solidFill>
                </w14:textFill>
              </w:rPr>
            </w:pPr>
          </w:p>
        </w:tc>
        <w:tc>
          <w:tcPr>
            <w:tcW w:w="1505" w:type="dxa"/>
            <w:tcBorders>
              <w:tl2br w:val="nil"/>
              <w:tr2bl w:val="nil"/>
            </w:tcBorders>
            <w:tcMar>
              <w:top w:w="15" w:type="dxa"/>
              <w:left w:w="15" w:type="dxa"/>
              <w:right w:w="15" w:type="dxa"/>
            </w:tcMar>
            <w:vAlign w:val="center"/>
          </w:tcPr>
          <w:p w14:paraId="2E44327C">
            <w:pPr>
              <w:widowControl/>
              <w:jc w:val="center"/>
              <w:textAlignment w:val="center"/>
              <w:rPr>
                <w:rFonts w:ascii="Times New Roman" w:hAnsi="Times New Roman"/>
                <w:b/>
                <w:color w:val="000000" w:themeColor="text1"/>
                <w:sz w:val="22"/>
                <w:szCs w:val="22"/>
                <w14:textFill>
                  <w14:solidFill>
                    <w14:schemeClr w14:val="tx1"/>
                  </w14:solidFill>
                </w14:textFill>
              </w:rPr>
            </w:pPr>
            <w:r>
              <w:rPr>
                <w:rFonts w:ascii="Times New Roman" w:hAnsi="Times New Roman"/>
                <w:b/>
                <w:color w:val="000000" w:themeColor="text1"/>
                <w:kern w:val="0"/>
                <w:sz w:val="18"/>
                <w:szCs w:val="18"/>
                <w:lang w:bidi="ar"/>
                <w14:textFill>
                  <w14:solidFill>
                    <w14:schemeClr w14:val="tx1"/>
                  </w14:solidFill>
                </w14:textFill>
              </w:rPr>
              <w:t>学历/学位</w:t>
            </w:r>
          </w:p>
        </w:tc>
        <w:tc>
          <w:tcPr>
            <w:tcW w:w="2585" w:type="dxa"/>
            <w:tcBorders>
              <w:tl2br w:val="nil"/>
              <w:tr2bl w:val="nil"/>
            </w:tcBorders>
            <w:tcMar>
              <w:top w:w="15" w:type="dxa"/>
              <w:left w:w="15" w:type="dxa"/>
              <w:right w:w="15" w:type="dxa"/>
            </w:tcMar>
            <w:vAlign w:val="center"/>
          </w:tcPr>
          <w:p w14:paraId="633DF3C2">
            <w:pPr>
              <w:widowControl/>
              <w:jc w:val="center"/>
              <w:textAlignment w:val="center"/>
              <w:rPr>
                <w:rFonts w:ascii="Times New Roman" w:hAnsi="Times New Roman"/>
                <w:b/>
                <w:color w:val="000000" w:themeColor="text1"/>
                <w:sz w:val="22"/>
                <w:szCs w:val="22"/>
                <w14:textFill>
                  <w14:solidFill>
                    <w14:schemeClr w14:val="tx1"/>
                  </w14:solidFill>
                </w14:textFill>
              </w:rPr>
            </w:pPr>
            <w:r>
              <w:rPr>
                <w:rFonts w:ascii="Times New Roman" w:hAnsi="Times New Roman"/>
                <w:b/>
                <w:color w:val="000000" w:themeColor="text1"/>
                <w:kern w:val="0"/>
                <w:sz w:val="18"/>
                <w:szCs w:val="18"/>
                <w:lang w:bidi="ar"/>
                <w14:textFill>
                  <w14:solidFill>
                    <w14:schemeClr w14:val="tx1"/>
                  </w14:solidFill>
                </w14:textFill>
              </w:rPr>
              <w:t>专  业</w:t>
            </w:r>
          </w:p>
        </w:tc>
        <w:tc>
          <w:tcPr>
            <w:tcW w:w="3714" w:type="dxa"/>
            <w:tcBorders>
              <w:tl2br w:val="nil"/>
              <w:tr2bl w:val="nil"/>
            </w:tcBorders>
            <w:tcMar>
              <w:top w:w="15" w:type="dxa"/>
              <w:left w:w="15" w:type="dxa"/>
              <w:right w:w="15" w:type="dxa"/>
            </w:tcMar>
            <w:vAlign w:val="center"/>
          </w:tcPr>
          <w:p w14:paraId="6C74304B">
            <w:pPr>
              <w:widowControl/>
              <w:jc w:val="center"/>
              <w:textAlignment w:val="center"/>
              <w:rPr>
                <w:rFonts w:ascii="Times New Roman" w:hAnsi="Times New Roman"/>
                <w:b/>
                <w:color w:val="000000" w:themeColor="text1"/>
                <w:sz w:val="22"/>
                <w:szCs w:val="22"/>
                <w14:textFill>
                  <w14:solidFill>
                    <w14:schemeClr w14:val="tx1"/>
                  </w14:solidFill>
                </w14:textFill>
              </w:rPr>
            </w:pPr>
            <w:r>
              <w:rPr>
                <w:rFonts w:hint="eastAsia" w:ascii="Times New Roman" w:hAnsi="Times New Roman"/>
                <w:b/>
                <w:color w:val="000000" w:themeColor="text1"/>
                <w:kern w:val="0"/>
                <w:sz w:val="18"/>
                <w:szCs w:val="18"/>
                <w:lang w:bidi="ar"/>
                <w14:textFill>
                  <w14:solidFill>
                    <w14:schemeClr w14:val="tx1"/>
                  </w14:solidFill>
                </w14:textFill>
              </w:rPr>
              <w:t>岗位说明</w:t>
            </w:r>
          </w:p>
        </w:tc>
        <w:tc>
          <w:tcPr>
            <w:tcW w:w="2454" w:type="dxa"/>
            <w:tcBorders>
              <w:tl2br w:val="nil"/>
              <w:tr2bl w:val="nil"/>
            </w:tcBorders>
            <w:tcMar>
              <w:top w:w="15" w:type="dxa"/>
              <w:left w:w="15" w:type="dxa"/>
              <w:right w:w="15" w:type="dxa"/>
            </w:tcMar>
            <w:vAlign w:val="center"/>
          </w:tcPr>
          <w:p w14:paraId="4061910D">
            <w:pPr>
              <w:widowControl/>
              <w:jc w:val="center"/>
              <w:textAlignment w:val="center"/>
              <w:rPr>
                <w:rFonts w:ascii="Times New Roman" w:hAnsi="Times New Roman"/>
                <w:b/>
                <w:color w:val="000000" w:themeColor="text1"/>
                <w:sz w:val="22"/>
                <w:szCs w:val="22"/>
                <w14:textFill>
                  <w14:solidFill>
                    <w14:schemeClr w14:val="tx1"/>
                  </w14:solidFill>
                </w14:textFill>
              </w:rPr>
            </w:pPr>
            <w:r>
              <w:rPr>
                <w:rFonts w:ascii="Times New Roman" w:hAnsi="Times New Roman"/>
                <w:b/>
                <w:color w:val="000000" w:themeColor="text1"/>
                <w:kern w:val="0"/>
                <w:sz w:val="18"/>
                <w:szCs w:val="18"/>
                <w:lang w:bidi="ar"/>
                <w14:textFill>
                  <w14:solidFill>
                    <w14:schemeClr w14:val="tx1"/>
                  </w14:solidFill>
                </w14:textFill>
              </w:rPr>
              <w:t>其它</w:t>
            </w:r>
          </w:p>
        </w:tc>
        <w:tc>
          <w:tcPr>
            <w:tcW w:w="1064" w:type="dxa"/>
            <w:vMerge w:val="continue"/>
            <w:tcBorders>
              <w:tl2br w:val="nil"/>
              <w:tr2bl w:val="nil"/>
            </w:tcBorders>
            <w:tcMar>
              <w:top w:w="15" w:type="dxa"/>
              <w:left w:w="15" w:type="dxa"/>
              <w:right w:w="15" w:type="dxa"/>
            </w:tcMar>
            <w:vAlign w:val="center"/>
          </w:tcPr>
          <w:p w14:paraId="600CB087">
            <w:pPr>
              <w:widowControl/>
              <w:jc w:val="center"/>
              <w:textAlignment w:val="center"/>
              <w:rPr>
                <w:rFonts w:ascii="Times New Roman" w:hAnsi="Times New Roman"/>
                <w:b/>
                <w:color w:val="000000" w:themeColor="text1"/>
                <w:kern w:val="0"/>
                <w:sz w:val="18"/>
                <w:szCs w:val="18"/>
                <w:lang w:bidi="ar"/>
                <w14:textFill>
                  <w14:solidFill>
                    <w14:schemeClr w14:val="tx1"/>
                  </w14:solidFill>
                </w14:textFill>
              </w:rPr>
            </w:pPr>
          </w:p>
        </w:tc>
      </w:tr>
      <w:tr w14:paraId="0D1BF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9" w:hRule="atLeast"/>
        </w:trPr>
        <w:tc>
          <w:tcPr>
            <w:tcW w:w="240" w:type="dxa"/>
            <w:tcBorders>
              <w:tl2br w:val="nil"/>
              <w:tr2bl w:val="nil"/>
            </w:tcBorders>
            <w:tcMar>
              <w:top w:w="15" w:type="dxa"/>
              <w:left w:w="15" w:type="dxa"/>
              <w:right w:w="15" w:type="dxa"/>
            </w:tcMar>
            <w:vAlign w:val="center"/>
          </w:tcPr>
          <w:p w14:paraId="25B14AE2">
            <w:pPr>
              <w:widowControl/>
              <w:jc w:val="center"/>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w:t>
            </w:r>
          </w:p>
        </w:tc>
        <w:tc>
          <w:tcPr>
            <w:tcW w:w="909" w:type="dxa"/>
            <w:vMerge w:val="restart"/>
            <w:tcBorders>
              <w:right w:val="single" w:color="auto" w:sz="4" w:space="0"/>
              <w:tl2br w:val="nil"/>
              <w:tr2bl w:val="nil"/>
            </w:tcBorders>
            <w:tcMar>
              <w:top w:w="15" w:type="dxa"/>
              <w:left w:w="15" w:type="dxa"/>
              <w:right w:w="15" w:type="dxa"/>
            </w:tcMar>
            <w:vAlign w:val="center"/>
          </w:tcPr>
          <w:p w14:paraId="5C5DB5ED">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营口产业投资运营集团有限公司</w:t>
            </w:r>
          </w:p>
        </w:tc>
        <w:tc>
          <w:tcPr>
            <w:tcW w:w="1016" w:type="dxa"/>
            <w:vMerge w:val="restart"/>
            <w:tcBorders>
              <w:left w:val="single" w:color="auto" w:sz="4" w:space="0"/>
              <w:tl2br w:val="nil"/>
              <w:tr2bl w:val="nil"/>
            </w:tcBorders>
            <w:shd w:val="clear" w:color="auto" w:fill="auto"/>
            <w:tcMar>
              <w:top w:w="15" w:type="dxa"/>
              <w:left w:w="15" w:type="dxa"/>
              <w:right w:w="15" w:type="dxa"/>
            </w:tcMar>
            <w:vAlign w:val="center"/>
          </w:tcPr>
          <w:p w14:paraId="7805E6CF">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营口惠裕实业有限公司</w:t>
            </w:r>
          </w:p>
        </w:tc>
        <w:tc>
          <w:tcPr>
            <w:tcW w:w="1106" w:type="dxa"/>
            <w:tcBorders>
              <w:tl2br w:val="nil"/>
              <w:tr2bl w:val="nil"/>
            </w:tcBorders>
            <w:shd w:val="clear" w:color="auto" w:fill="auto"/>
            <w:tcMar>
              <w:top w:w="15" w:type="dxa"/>
              <w:left w:w="15" w:type="dxa"/>
              <w:right w:w="15" w:type="dxa"/>
            </w:tcMar>
            <w:vAlign w:val="center"/>
          </w:tcPr>
          <w:p w14:paraId="51DA2062">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企业运营部职员</w:t>
            </w:r>
          </w:p>
        </w:tc>
        <w:tc>
          <w:tcPr>
            <w:tcW w:w="523" w:type="dxa"/>
            <w:tcBorders>
              <w:tl2br w:val="nil"/>
              <w:tr2bl w:val="nil"/>
            </w:tcBorders>
            <w:shd w:val="clear" w:color="auto" w:fill="auto"/>
            <w:noWrap/>
            <w:tcMar>
              <w:top w:w="15" w:type="dxa"/>
              <w:left w:w="15" w:type="dxa"/>
              <w:right w:w="15" w:type="dxa"/>
            </w:tcMar>
            <w:vAlign w:val="center"/>
          </w:tcPr>
          <w:p w14:paraId="6650F433">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w:t>
            </w:r>
          </w:p>
        </w:tc>
        <w:tc>
          <w:tcPr>
            <w:tcW w:w="1505" w:type="dxa"/>
            <w:tcBorders>
              <w:tl2br w:val="nil"/>
              <w:tr2bl w:val="nil"/>
            </w:tcBorders>
            <w:shd w:val="clear" w:color="auto" w:fill="auto"/>
            <w:tcMar>
              <w:top w:w="15" w:type="dxa"/>
              <w:left w:w="15" w:type="dxa"/>
              <w:right w:w="15" w:type="dxa"/>
            </w:tcMar>
            <w:vAlign w:val="center"/>
          </w:tcPr>
          <w:p w14:paraId="6E63B1E9">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普通高校本科学历及以上/</w:t>
            </w:r>
          </w:p>
          <w:p w14:paraId="458859E4">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学士学位及以上</w:t>
            </w:r>
          </w:p>
        </w:tc>
        <w:tc>
          <w:tcPr>
            <w:tcW w:w="2585" w:type="dxa"/>
            <w:tcBorders>
              <w:tl2br w:val="nil"/>
              <w:tr2bl w:val="nil"/>
            </w:tcBorders>
            <w:shd w:val="clear" w:color="auto" w:fill="auto"/>
            <w:tcMar>
              <w:top w:w="15" w:type="dxa"/>
              <w:left w:w="15" w:type="dxa"/>
              <w:right w:w="15" w:type="dxa"/>
            </w:tcMar>
            <w:vAlign w:val="center"/>
          </w:tcPr>
          <w:p w14:paraId="0044B2EF">
            <w:pPr>
              <w:widowControl/>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b/>
                <w:bCs/>
                <w:color w:val="000000" w:themeColor="text1"/>
                <w:sz w:val="20"/>
                <w:szCs w:val="20"/>
                <w14:textFill>
                  <w14:solidFill>
                    <w14:schemeClr w14:val="tx1"/>
                  </w14:solidFill>
                </w14:textFill>
              </w:rPr>
              <w:t>本科：</w:t>
            </w:r>
            <w:r>
              <w:rPr>
                <w:rFonts w:hint="eastAsia" w:ascii="仿宋" w:hAnsi="仿宋" w:eastAsia="仿宋" w:cs="仿宋"/>
                <w:bCs/>
                <w:kern w:val="0"/>
                <w:szCs w:val="21"/>
              </w:rPr>
              <w:t>电气信息类</w:t>
            </w:r>
          </w:p>
        </w:tc>
        <w:tc>
          <w:tcPr>
            <w:tcW w:w="3714" w:type="dxa"/>
            <w:tcBorders>
              <w:tl2br w:val="nil"/>
              <w:tr2bl w:val="nil"/>
            </w:tcBorders>
            <w:shd w:val="clear" w:color="auto" w:fill="auto"/>
            <w:tcMar>
              <w:top w:w="15" w:type="dxa"/>
              <w:left w:w="15" w:type="dxa"/>
              <w:right w:w="15" w:type="dxa"/>
            </w:tcMar>
            <w:vAlign w:val="center"/>
          </w:tcPr>
          <w:p w14:paraId="772B816C">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1.协助团队监控公司园区供配电系统的日常运行；</w:t>
            </w:r>
          </w:p>
          <w:p w14:paraId="0D73C117">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2.参与供配电设备的基本巡检工作，记录巡检数据；</w:t>
            </w:r>
          </w:p>
          <w:p w14:paraId="6C5BBB37">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3.配合硕迩公司等厂房进行资料整理和基本数据分析协助准备节能提案。</w:t>
            </w:r>
          </w:p>
        </w:tc>
        <w:tc>
          <w:tcPr>
            <w:tcW w:w="2454" w:type="dxa"/>
            <w:tcBorders>
              <w:tl2br w:val="nil"/>
              <w:tr2bl w:val="nil"/>
            </w:tcBorders>
            <w:shd w:val="clear" w:color="auto" w:fill="auto"/>
            <w:tcMar>
              <w:top w:w="15" w:type="dxa"/>
              <w:left w:w="15" w:type="dxa"/>
              <w:right w:w="15" w:type="dxa"/>
            </w:tcMar>
            <w:vAlign w:val="center"/>
          </w:tcPr>
          <w:p w14:paraId="7D125F4C">
            <w:pPr>
              <w:jc w:val="left"/>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28周岁及以下；熟悉继电保护设备安装调试、电气设备安装、电气试验、自动化后台维护、配网自动化设备安装等一种或多种技能优先。</w:t>
            </w:r>
          </w:p>
        </w:tc>
        <w:tc>
          <w:tcPr>
            <w:tcW w:w="1064" w:type="dxa"/>
            <w:vMerge w:val="restart"/>
            <w:tcBorders>
              <w:tl2br w:val="nil"/>
              <w:tr2bl w:val="nil"/>
            </w:tcBorders>
            <w:tcMar>
              <w:top w:w="15" w:type="dxa"/>
              <w:left w:w="15" w:type="dxa"/>
              <w:right w:w="15" w:type="dxa"/>
            </w:tcMar>
            <w:vAlign w:val="center"/>
          </w:tcPr>
          <w:p w14:paraId="5B94FDEB">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0417-</w:t>
            </w:r>
            <w:r>
              <w:rPr>
                <w:rFonts w:hint="eastAsia" w:ascii="仿宋" w:hAnsi="仿宋" w:eastAsia="仿宋" w:cs="仿宋"/>
                <w:color w:val="000000" w:themeColor="text1"/>
                <w:sz w:val="20"/>
                <w:szCs w:val="20"/>
                <w14:textFill>
                  <w14:solidFill>
                    <w14:schemeClr w14:val="tx1"/>
                  </w14:solidFill>
                </w14:textFill>
              </w:rPr>
              <w:t>2871045</w:t>
            </w:r>
          </w:p>
        </w:tc>
      </w:tr>
      <w:tr w14:paraId="23E08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9" w:hRule="atLeast"/>
        </w:trPr>
        <w:tc>
          <w:tcPr>
            <w:tcW w:w="240" w:type="dxa"/>
            <w:tcBorders>
              <w:tl2br w:val="nil"/>
              <w:tr2bl w:val="nil"/>
            </w:tcBorders>
            <w:tcMar>
              <w:top w:w="15" w:type="dxa"/>
              <w:left w:w="15" w:type="dxa"/>
              <w:right w:w="15" w:type="dxa"/>
            </w:tcMar>
            <w:vAlign w:val="center"/>
          </w:tcPr>
          <w:p w14:paraId="50DB541D">
            <w:pPr>
              <w:widowControl/>
              <w:jc w:val="center"/>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w:t>
            </w:r>
          </w:p>
        </w:tc>
        <w:tc>
          <w:tcPr>
            <w:tcW w:w="909" w:type="dxa"/>
            <w:vMerge w:val="continue"/>
            <w:tcBorders>
              <w:right w:val="single" w:color="auto" w:sz="4" w:space="0"/>
              <w:tl2br w:val="nil"/>
              <w:tr2bl w:val="nil"/>
            </w:tcBorders>
            <w:tcMar>
              <w:top w:w="15" w:type="dxa"/>
              <w:left w:w="15" w:type="dxa"/>
              <w:right w:w="15" w:type="dxa"/>
            </w:tcMar>
            <w:vAlign w:val="center"/>
          </w:tcPr>
          <w:p w14:paraId="36C83F11">
            <w:pPr>
              <w:widowControl/>
              <w:jc w:val="center"/>
              <w:textAlignment w:val="center"/>
              <w:rPr>
                <w:rFonts w:ascii="仿宋" w:hAnsi="仿宋" w:eastAsia="仿宋" w:cs="仿宋"/>
                <w:color w:val="000000" w:themeColor="text1"/>
                <w:sz w:val="20"/>
                <w:szCs w:val="20"/>
                <w14:textFill>
                  <w14:solidFill>
                    <w14:schemeClr w14:val="tx1"/>
                  </w14:solidFill>
                </w14:textFill>
              </w:rPr>
            </w:pPr>
          </w:p>
        </w:tc>
        <w:tc>
          <w:tcPr>
            <w:tcW w:w="1016" w:type="dxa"/>
            <w:vMerge w:val="continue"/>
            <w:tcBorders>
              <w:left w:val="single" w:color="auto" w:sz="4" w:space="0"/>
              <w:tl2br w:val="nil"/>
              <w:tr2bl w:val="nil"/>
            </w:tcBorders>
            <w:shd w:val="clear" w:color="auto" w:fill="auto"/>
            <w:tcMar>
              <w:top w:w="15" w:type="dxa"/>
              <w:left w:w="15" w:type="dxa"/>
              <w:right w:w="15" w:type="dxa"/>
            </w:tcMar>
            <w:vAlign w:val="center"/>
          </w:tcPr>
          <w:p w14:paraId="4D8CA170">
            <w:pPr>
              <w:widowControl/>
              <w:jc w:val="center"/>
              <w:textAlignment w:val="center"/>
              <w:rPr>
                <w:rFonts w:ascii="仿宋" w:hAnsi="仿宋" w:eastAsia="仿宋" w:cs="仿宋"/>
                <w:color w:val="000000" w:themeColor="text1"/>
                <w:sz w:val="20"/>
                <w:szCs w:val="20"/>
                <w14:textFill>
                  <w14:solidFill>
                    <w14:schemeClr w14:val="tx1"/>
                  </w14:solidFill>
                </w14:textFill>
              </w:rPr>
            </w:pPr>
          </w:p>
        </w:tc>
        <w:tc>
          <w:tcPr>
            <w:tcW w:w="1106" w:type="dxa"/>
            <w:tcBorders>
              <w:tl2br w:val="nil"/>
              <w:tr2bl w:val="nil"/>
            </w:tcBorders>
            <w:shd w:val="clear" w:color="auto" w:fill="auto"/>
            <w:tcMar>
              <w:top w:w="15" w:type="dxa"/>
              <w:left w:w="15" w:type="dxa"/>
              <w:right w:w="15" w:type="dxa"/>
            </w:tcMar>
            <w:vAlign w:val="center"/>
          </w:tcPr>
          <w:p w14:paraId="68917909">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企业管理部</w:t>
            </w:r>
          </w:p>
          <w:p w14:paraId="577E9363">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职员</w:t>
            </w:r>
          </w:p>
        </w:tc>
        <w:tc>
          <w:tcPr>
            <w:tcW w:w="523" w:type="dxa"/>
            <w:tcBorders>
              <w:tl2br w:val="nil"/>
              <w:tr2bl w:val="nil"/>
            </w:tcBorders>
            <w:shd w:val="clear" w:color="auto" w:fill="auto"/>
            <w:noWrap/>
            <w:tcMar>
              <w:top w:w="15" w:type="dxa"/>
              <w:left w:w="15" w:type="dxa"/>
              <w:right w:w="15" w:type="dxa"/>
            </w:tcMar>
            <w:vAlign w:val="center"/>
          </w:tcPr>
          <w:p w14:paraId="1CC2F435">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w:t>
            </w:r>
          </w:p>
        </w:tc>
        <w:tc>
          <w:tcPr>
            <w:tcW w:w="1505" w:type="dxa"/>
            <w:tcBorders>
              <w:tl2br w:val="nil"/>
              <w:tr2bl w:val="nil"/>
            </w:tcBorders>
            <w:shd w:val="clear" w:color="auto" w:fill="auto"/>
            <w:tcMar>
              <w:top w:w="15" w:type="dxa"/>
              <w:left w:w="15" w:type="dxa"/>
              <w:right w:w="15" w:type="dxa"/>
            </w:tcMar>
            <w:vAlign w:val="center"/>
          </w:tcPr>
          <w:p w14:paraId="1679D640">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普通高校本科学历及以上/</w:t>
            </w:r>
          </w:p>
          <w:p w14:paraId="025FA62F">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学士学位及以上</w:t>
            </w:r>
          </w:p>
        </w:tc>
        <w:tc>
          <w:tcPr>
            <w:tcW w:w="2585" w:type="dxa"/>
            <w:tcBorders>
              <w:tl2br w:val="nil"/>
              <w:tr2bl w:val="nil"/>
            </w:tcBorders>
            <w:shd w:val="clear" w:color="auto" w:fill="auto"/>
            <w:tcMar>
              <w:top w:w="15" w:type="dxa"/>
              <w:left w:w="15" w:type="dxa"/>
              <w:right w:w="15" w:type="dxa"/>
            </w:tcMar>
            <w:vAlign w:val="center"/>
          </w:tcPr>
          <w:p w14:paraId="30267BE3">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b/>
                <w:bCs/>
                <w:color w:val="000000" w:themeColor="text1"/>
                <w:sz w:val="20"/>
                <w:szCs w:val="20"/>
                <w14:textFill>
                  <w14:solidFill>
                    <w14:schemeClr w14:val="tx1"/>
                  </w14:solidFill>
                </w14:textFill>
              </w:rPr>
              <w:t>本科：</w:t>
            </w:r>
            <w:r>
              <w:rPr>
                <w:rFonts w:hint="eastAsia" w:ascii="仿宋" w:hAnsi="仿宋" w:eastAsia="仿宋" w:cs="仿宋"/>
                <w:color w:val="000000" w:themeColor="text1"/>
                <w:sz w:val="20"/>
                <w:szCs w:val="20"/>
                <w14:textFill>
                  <w14:solidFill>
                    <w14:schemeClr w14:val="tx1"/>
                  </w14:solidFill>
                </w14:textFill>
              </w:rPr>
              <w:t>管理科学与工程类；土木工程专业</w:t>
            </w:r>
          </w:p>
        </w:tc>
        <w:tc>
          <w:tcPr>
            <w:tcW w:w="3714" w:type="dxa"/>
            <w:tcBorders>
              <w:tl2br w:val="nil"/>
              <w:tr2bl w:val="nil"/>
            </w:tcBorders>
            <w:shd w:val="clear" w:color="auto" w:fill="auto"/>
            <w:tcMar>
              <w:top w:w="15" w:type="dxa"/>
              <w:left w:w="15" w:type="dxa"/>
              <w:right w:w="15" w:type="dxa"/>
            </w:tcMar>
            <w:vAlign w:val="center"/>
          </w:tcPr>
          <w:p w14:paraId="3270CB51">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1.协助参与企业战略制定及运营优化；</w:t>
            </w:r>
          </w:p>
          <w:p w14:paraId="552705AA">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2.协助参与工程项目全流程实施和监管；</w:t>
            </w:r>
          </w:p>
          <w:p w14:paraId="4AC4856F">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3.协助参与工程项目评估风险和制定基本应对措施。</w:t>
            </w:r>
          </w:p>
        </w:tc>
        <w:tc>
          <w:tcPr>
            <w:tcW w:w="2454" w:type="dxa"/>
            <w:tcBorders>
              <w:tl2br w:val="nil"/>
              <w:tr2bl w:val="nil"/>
            </w:tcBorders>
            <w:shd w:val="clear" w:color="auto" w:fill="auto"/>
            <w:tcMar>
              <w:top w:w="15" w:type="dxa"/>
              <w:left w:w="15" w:type="dxa"/>
              <w:right w:w="15" w:type="dxa"/>
            </w:tcMar>
            <w:vAlign w:val="center"/>
          </w:tcPr>
          <w:p w14:paraId="0D4ACF74">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28周岁及以下</w:t>
            </w:r>
          </w:p>
        </w:tc>
        <w:tc>
          <w:tcPr>
            <w:tcW w:w="1064" w:type="dxa"/>
            <w:vMerge w:val="continue"/>
            <w:tcBorders>
              <w:tl2br w:val="nil"/>
              <w:tr2bl w:val="nil"/>
            </w:tcBorders>
            <w:tcMar>
              <w:top w:w="15" w:type="dxa"/>
              <w:left w:w="15" w:type="dxa"/>
              <w:right w:w="15" w:type="dxa"/>
            </w:tcMar>
            <w:vAlign w:val="center"/>
          </w:tcPr>
          <w:p w14:paraId="61359036">
            <w:pPr>
              <w:rPr>
                <w:rFonts w:ascii="仿宋_GB2312" w:hAnsi="仿宋_GB2312" w:eastAsia="仿宋_GB2312" w:cs="仿宋_GB2312"/>
                <w:color w:val="000000" w:themeColor="text1"/>
                <w:sz w:val="20"/>
                <w:szCs w:val="20"/>
                <w14:textFill>
                  <w14:solidFill>
                    <w14:schemeClr w14:val="tx1"/>
                  </w14:solidFill>
                </w14:textFill>
              </w:rPr>
            </w:pPr>
          </w:p>
        </w:tc>
      </w:tr>
    </w:tbl>
    <w:p w14:paraId="28093691">
      <w:pPr>
        <w:widowControl/>
        <w:spacing w:line="360" w:lineRule="auto"/>
        <w:textAlignment w:val="center"/>
        <w:rPr>
          <w:rFonts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bCs/>
          <w:kern w:val="0"/>
          <w:szCs w:val="21"/>
        </w:rPr>
        <w:t>说明：专业名称参照《2016年辽宁省省直事业单位公开招聘人员专业（学科）指导目录》</w:t>
      </w:r>
      <w:bookmarkStart w:id="0" w:name="_GoBack"/>
      <w:bookmarkEnd w:id="0"/>
    </w:p>
    <w:sectPr>
      <w:footerReference r:id="rId3" w:type="default"/>
      <w:pgSz w:w="16838" w:h="11906" w:orient="landscape"/>
      <w:pgMar w:top="1417" w:right="1440" w:bottom="130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B460BCD3-F368-4239-9E6B-43C1650BC8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C4BBB">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7B6B6">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2B7B6B6">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NWU2YWE4NzliN2ZhZjMzNGM0OTQwMDBiOTM3ZDMifQ=="/>
  </w:docVars>
  <w:rsids>
    <w:rsidRoot w:val="22CC22EE"/>
    <w:rsid w:val="002D5BCB"/>
    <w:rsid w:val="0037765C"/>
    <w:rsid w:val="005D486C"/>
    <w:rsid w:val="007E75B1"/>
    <w:rsid w:val="009F1DFD"/>
    <w:rsid w:val="00AF1098"/>
    <w:rsid w:val="00BA67E5"/>
    <w:rsid w:val="00EB76E1"/>
    <w:rsid w:val="00F01456"/>
    <w:rsid w:val="22CC22EE"/>
    <w:rsid w:val="672D5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宋体"/>
      <w:kern w:val="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jobs</Company>
  <Pages>1</Pages>
  <Words>410</Words>
  <Characters>430</Characters>
  <Lines>3</Lines>
  <Paragraphs>1</Paragraphs>
  <TotalTime>9</TotalTime>
  <ScaleCrop>false</ScaleCrop>
  <LinksUpToDate>false</LinksUpToDate>
  <CharactersWithSpaces>432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2024-09-10T02:08:00Z</dcterms:created>
  <dc:creator>王继第</dc:creator>
  <cp:lastModifiedBy>一响指</cp:lastModifiedBy>
  <dcterms:modified xsi:type="dcterms:W3CDTF">2024-09-18T07:31:12Z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D8B7313CAF554F05A8B2EE7AE0604BF3_11</vt:lpwstr>
  </property>
</Properties>
</file>